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F6228"/>
          <w:sz w:val="26"/>
          <w:szCs w:val="2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F6228"/>
          <w:sz w:val="26"/>
          <w:szCs w:val="2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Palatino Linotype" w:hAnsi="Palatino Linotype" w:eastAsia="Times New Roman" w:cs="Palatino Linotype"/>
          <w:b/>
          <w:b/>
          <w:bCs/>
          <w:color w:val="4472C4"/>
          <w:sz w:val="26"/>
          <w:szCs w:val="2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sz w:val="26"/>
          <w:szCs w:val="26"/>
          <w:lang w:val="sq-AL" w:eastAsia="en-GB"/>
        </w:rPr>
        <w:t>UDHËZUESI I AUTORËVE PËR KONTRIBUT ME ARTIKUJ NË REVISTËN ONLINE “EUROSPEAK”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0B0706"/>
          <w:sz w:val="26"/>
          <w:szCs w:val="2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0B0706"/>
          <w:sz w:val="26"/>
          <w:szCs w:val="2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LLOJET E ARTIKUJVE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Revista “EuroSpeak” do të botojë në gjuhën shqipe artikuj analitikë të cilët trajtojnë një sërë zhvillimesh dhe çështjesh të lidhura me politikat e BE-së, procesin e zgjerimit dhe zhvillimet në BE dhe rajonin e Ballkanit Perëndimor. Artikujt do të përfshihen në njërën nga </w:t>
      </w:r>
      <w:r>
        <w:rPr>
          <w:rFonts w:cs="Palatino Linotype" w:ascii="Palatino Linotype" w:hAnsi="Palatino Linotype"/>
          <w:color w:val="222222"/>
          <w:shd w:fill="FFFFFF" w:val="clear"/>
          <w:lang w:val="sq-AL"/>
        </w:rPr>
        <w:t>fushat tematike të EuroSpeak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: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 xml:space="preserve">Në Fokus – 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>analizim i  zhvillimeve më të fundit nga BE dhe vendet Anëtare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 xml:space="preserve">Në pritje të zgjerimit- 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 xml:space="preserve">artikuj mbi rajonin dhe procesin e integrimit europian; 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Cs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>Profil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 xml:space="preserve">- zhvillim intervistash dhe realizim të profileve të aktorëve kyç shqiptarë dhe europianë; 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Cs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 xml:space="preserve">Sociale dhe Ekonomia 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 xml:space="preserve">– çështje dhe zhvillime në BE apo rajon të fushave sociale si punësimi, papunësia, edukimi, të rinjtë, migracioni, barazia gjinor, klima dhe mjedisi, rritja ekonomike, etj.; 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 xml:space="preserve">Speciale – 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>analiza të ngjarjeve më të diskutuara dhe më të rëndësishme që formësojnë Europën dhe p</w:t>
      </w:r>
      <w:r>
        <w:rPr>
          <w:rFonts w:eastAsia="Times New Roman" w:cs="Palatino Linotype" w:ascii="Palatino Linotype" w:hAnsi="Palatino Linotype"/>
          <w:iCs/>
          <w:color w:val="0B0706"/>
          <w:lang w:val="sq-AL" w:eastAsia="ja-JP"/>
        </w:rPr>
        <w:t>ë</w:t>
      </w:r>
      <w:r>
        <w:rPr>
          <w:rFonts w:eastAsia="Yu Mincho" w:cs="Palatino Linotype" w:ascii="Palatino Linotype" w:hAnsi="Palatino Linotype"/>
          <w:iCs/>
          <w:color w:val="0B0706"/>
          <w:lang w:val="sq-AL" w:eastAsia="ja-JP"/>
        </w:rPr>
        <w:t>rcaktojnë të ardhmen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 xml:space="preserve"> ;</w:t>
      </w: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 xml:space="preserve"> 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  <w:t xml:space="preserve">Opinion dhe Intervista – </w:t>
      </w:r>
      <w:r>
        <w:rPr>
          <w:rFonts w:eastAsia="Times New Roman" w:cs="Palatino Linotype" w:ascii="Palatino Linotype" w:hAnsi="Palatino Linotype"/>
          <w:iCs/>
          <w:color w:val="0B0706"/>
          <w:lang w:val="sq-AL" w:eastAsia="en-GB"/>
        </w:rPr>
        <w:t xml:space="preserve">Op-Ed dhe intervista me aktorë dhe ekspertë shqiptarë dhe europianë mbi integrimin, zgjerimin, negociatat etj.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Autorëve u këshillohet që të përshtatin artikullin e tyre me një nga kategoritë e mësip</w:t>
      </w:r>
      <w:r>
        <w:rPr>
          <w:rFonts w:eastAsia="Times New Roman" w:cs="Palatino Linotype" w:ascii="Palatino Linotype" w:hAnsi="Palatino Linotype"/>
          <w:color w:val="0B0706"/>
          <w:lang w:val="sq-AL" w:eastAsia="ja-JP"/>
        </w:rPr>
        <w:t>ërme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. Një artikull mund të mbulojë dy ose më shumë fusha, në këto raste Kryeredaktorja do të vendosë se në cilën shtyllë të revistës do të botohet artikulli.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i/>
          <w:i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i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 xml:space="preserve">KRITERET QË DUHET TË PËRMBUSHIN AUTORËT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EuroSpeak synon tu ofrojë mundësinë të gjithëve të marrin pjesë e të kontribuojnë me artikuj dhe analizat e tyre. Ndaj nuk ka kërkesa të rrepta për autorët, për aq kohë sa përmbushen kërkesat </w:t>
      </w:r>
      <w:r>
        <w:rPr>
          <w:rFonts w:eastAsia="Times New Roman" w:cs="Palatino Linotype" w:ascii="Palatino Linotype" w:hAnsi="Palatino Linotype"/>
          <w:i/>
          <w:iCs/>
          <w:color w:val="0B0706"/>
          <w:lang w:val="sq-AL" w:eastAsia="en-GB"/>
        </w:rPr>
        <w:t>e cilësisë së Artikujve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. Secili autor/e që paraqet një artikull duhet të dërgojë një biografi të shkurtër në gjuhën shqipe prej 150-200 fjalësh që përshkruan formimin e tij/saj akademik dhe profesional.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PËRGJEGJËSIA E AUTORËVE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Autorët mbajnë përgjegjësi për artikujt që paraqiten prej tyre. Në mënyrë të veçantë është përgjegjësi e Autorit/es për të siguruar dhe garantuar që: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Punimi i dorëzuar është origjinal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/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Artikulli i paraqitur nuk përmban informacion ofendues apo denigrues, nuk shkel të drejtën e autorit apo të drejta të tjera, nuk shkel të drejtën e privatësisë apo është i paligjshëm në ndonjë mënyrë tjetër.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Në rast se ka më shumë se një autor/e, duhet të përmendet emri i tyre dhe autori/ja që dorëzon artikullin duhet të marrë leje për botim.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Artikulli nuk është botuar më parë në një media online apo të shkruar.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KËRKESAT E CILËSISË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Çdo artikull do të shqyrtohet nga Kryeredaktorja dhe Bordi i Redaktorëve, të cilët kanë vendimin përfundimtar për miratimin e artikujve të dorëzuar.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ORIGJINALITETI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Nuk do të pranohet asnjë artikull nëse nuk është punim origjinal i autorit/es, nëse është botuar më parë ose është aktualisht duke u shqyrtuar për botim diku tjetër.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KRITERET PËR SHKRIMIN E ARTIKULLIT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Gjatësia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 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- Artikujt duhet të përmbajnë nga 500 - 2 000 fjalë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Gjuha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 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– Artikujt do të publikohen vetëm në gjuhën shqipe. Gjuha e p</w:t>
      </w:r>
      <w:r>
        <w:rPr>
          <w:rFonts w:eastAsia="Times New Roman" w:cs="Times New Roman" w:ascii="Times New Roman" w:hAnsi="Times New Roman"/>
          <w:color w:val="0B0706"/>
          <w:lang w:val="sq-AL" w:eastAsia="en-GB"/>
        </w:rPr>
        <w:t xml:space="preserve">ërdorur 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duhet të jetë gjuha shqipe standarde. 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Struktura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 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– Artikujt duhet të përmbajnë së paku paragrafët e mëposhtëm: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Titulli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i cili duhet të jetë konciz dhe informativ dhe nuk duhet të përmbajë ndonjë shkurtim;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Abstrakti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, maks. 100 fjalë që përshkruan qartë temën;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Hyrja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;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Pjesa analitike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që përmban analizën e temës;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Përfundimet dhe rekomandimet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. 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Referencat dhe Shënimet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 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– Referencat dhe shënimet duhet të vendosen në formën e një futnote në fund të secilës faqe sipas formatit të citimit APA.</w:t>
      </w:r>
    </w:p>
    <w:p>
      <w:pPr>
        <w:pStyle w:val="Normal"/>
        <w:shd w:fill="FFFFFF" w:val="clear"/>
        <w:spacing w:lineRule="auto" w:line="240" w:before="0" w:after="0"/>
        <w:ind w:left="375" w:hanging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ind w:left="375" w:hanging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PROCEDURA E PËRZGJEDHJES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Procedura e përzgjedhjes së Artikujve udhëhiqet nga parimet e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cilësisë, paanshmërisë, risisë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dhe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shqyrtimit të thelluar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. Artikujt e  paraqitur do të kalojnë dy faza shqyrtimi. Faza e parë është shqyrtimi paraprak i Kryeredaktores dhe faza e dytë është shqyrtimi përfundimtar nga Bordi i Redaktorëve, i cili do të japë miratimin për botimin.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C00000"/>
          <w:lang w:val="sq-AL" w:eastAsia="en-GB"/>
        </w:rPr>
        <w:t>!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Artikujt që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nuk konsiderohen origjinalë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,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kanë gabime serioze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, kanë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gramatikë ose gjuhë të dobët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ose janë jashtë </w:t>
      </w:r>
      <w:r>
        <w:rPr>
          <w:rFonts w:eastAsia="Times New Roman" w:cs="Palatino Linotype" w:ascii="Palatino Linotype" w:hAnsi="Palatino Linotype"/>
          <w:b/>
          <w:bCs/>
          <w:color w:val="0B0706"/>
          <w:lang w:val="sq-AL" w:eastAsia="en-GB"/>
        </w:rPr>
        <w:t>tematikave dhe fushave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të revistës, do të refuzohen në fazën paraprake, nëpërmjet një njoftimi me shkrim të dërguar me e-mail tek autori i dorëzimit.</w:t>
      </w:r>
      <w:r>
        <w:rPr>
          <w:rFonts w:eastAsia="Times New Roman" w:cs="Palatino Linotype" w:ascii="Palatino Linotype" w:hAnsi="Palatino Linotype"/>
          <w:b/>
          <w:bCs/>
          <w:color w:val="C00000"/>
          <w:lang w:val="sq-AL" w:eastAsia="en-GB"/>
        </w:rPr>
        <w:t>!</w:t>
      </w: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Artikujt që plotësojnë kriteret minimale i kalojnë Bordit të Redaktorëve për shqyrtimin përfundimtar. Kryeredaktorja mund t'i kërkojë autorëve të shqyrtojnë dhe të redaktojnë artikujt e tyre.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E DREJTA E AUTORIT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Autori duhet të jetë pronar i së drejtës së autorit. Me nënshkrimin e një Marrëveshjeje, autori do të transferojë dhe caktojë të drejtat e autorit në Revistën Online EuroSpeak. Kjo i jep Revistës Online EuroSpeak të drejtën dhe përgjegjësinë e vetme për të botuar Artikullin, duke përfshirë të drejtat e shpërndarjes së Artikullit në formë të shtypur, në internet, në CD-ROM ose në formate të tjera mediatike.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Transferimi i së drejtës së autorit në Revistën Online EuroSpeak nuk do të thotë se Autori/ja i humb këto të drejta. Autori/ja gjithashtu do të mbajë të drejtat e tij / saj dhe në veçanti të drejtat e mëposhtme: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Të drejtat e patentave dhe markave tregtare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E drejta për t'u identifikuar si Autori/ja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20"/>
          <w:tab w:val="left" w:pos="360" w:leader="none"/>
        </w:tabs>
        <w:spacing w:lineRule="auto" w:line="240" w:before="0" w:after="0"/>
        <w:ind w:left="375" w:hanging="360"/>
        <w:jc w:val="both"/>
        <w:rPr/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E drejta për të përfshirë përmbajtjen e Artikullit në veprat e tjera të Autorit/es.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TARIFAT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Artikujt e botuar në Revistën Online EuroSpeak do të jenë pa pagesë për autorët dhe do të jenë të aksesueshme për publikun në faqen online të Revistës EuroSpeak: </w:t>
      </w:r>
      <w:hyperlink r:id="rId2">
        <w:r>
          <w:rPr>
            <w:rStyle w:val="InternetLink"/>
            <w:rFonts w:eastAsia="Times New Roman" w:cs="Palatino Linotype" w:ascii="Palatino Linotype" w:hAnsi="Palatino Linotype"/>
            <w:lang w:val="sq-AL" w:eastAsia="en-GB"/>
          </w:rPr>
          <w:t>www.eurospeak.al</w:t>
        </w:r>
      </w:hyperlink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 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>SHPËRBLIMI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Revista Online EuroSpeak do t'u sigurojë autorëve një shpërblim financiar për artikujt e miratuar që do të botohen. Shpërblimi financiar do të vlerësohet në përputhje me cilësinë e artikullit dhe ekspertizën profesionale të Autorit.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F6228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F6228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F6228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F6228"/>
          <w:lang w:val="sq-AL" w:eastAsia="en-GB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bCs/>
          <w:color w:val="4472C4"/>
          <w:lang w:val="sq-AL" w:eastAsia="en-GB"/>
        </w:rPr>
      </w:pPr>
      <w:r>
        <w:rPr>
          <w:rFonts w:eastAsia="Times New Roman" w:cs="Palatino Linotype" w:ascii="Palatino Linotype" w:hAnsi="Palatino Linotype"/>
          <w:b/>
          <w:bCs/>
          <w:color w:val="4472C4"/>
          <w:lang w:val="sq-AL" w:eastAsia="en-GB"/>
        </w:rPr>
        <w:t xml:space="preserve">DËRGIMI I ARTIKUJVE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cs="Palatino Linotype"/>
          <w:b/>
          <w:b/>
          <w:color w:val="4F6228"/>
          <w:lang w:val="sq-AL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 xml:space="preserve">Autorët e interesuar duhet të dërgojnë draftin elektronik të artikujve të tyre në adresën e e-mailit të revistës: </w:t>
      </w:r>
      <w:hyperlink r:id="rId3">
        <w:r>
          <w:rPr>
            <w:rStyle w:val="InternetLink"/>
            <w:rFonts w:eastAsia="Times New Roman" w:cs="Palatino Linotype" w:ascii="Palatino Linotype" w:hAnsi="Palatino Linotype"/>
            <w:b/>
            <w:color w:val="4472C4"/>
            <w:lang w:val="sq-AL" w:eastAsia="en-GB"/>
          </w:rPr>
          <w:t>info@em-al.org</w:t>
        </w:r>
      </w:hyperlink>
      <w:r>
        <w:rPr>
          <w:rFonts w:cs="Palatino Linotype" w:ascii="Palatino Linotype" w:hAnsi="Palatino Linotype"/>
          <w:b/>
          <w:color w:val="4F6228"/>
          <w:lang w:val="sq-AL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Palatino Linotype" w:hAnsi="Palatino Linotype" w:eastAsia="Times New Roman" w:cs="Palatino Linotype"/>
          <w:b/>
          <w:b/>
          <w:color w:val="0B0706"/>
          <w:lang w:val="sq-AL" w:eastAsia="en-GB"/>
        </w:rPr>
      </w:pPr>
      <w:r>
        <w:rPr>
          <w:rFonts w:eastAsia="Times New Roman" w:cs="Palatino Linotype" w:ascii="Palatino Linotype" w:hAnsi="Palatino Linotype"/>
          <w:b/>
          <w:color w:val="0B0706"/>
          <w:lang w:val="sq-AL" w:eastAsia="en-GB"/>
        </w:rPr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 w:cs="Palatino Linotype"/>
          <w:lang w:val="sq-AL"/>
        </w:rPr>
      </w:pPr>
      <w:r>
        <w:rPr>
          <w:rFonts w:eastAsia="Times New Roman" w:cs="Palatino Linotype" w:ascii="Palatino Linotype" w:hAnsi="Palatino Linotype"/>
          <w:color w:val="0B0706"/>
          <w:lang w:val="sq-AL" w:eastAsia="en-GB"/>
        </w:rPr>
        <w:t>Të gjitha komunikimet midis autorëve dhe redaksisë së revistës në lidhje me artikullin, ndryshimet, rishikimet etj., do të bëhen me shkrim përmes e-mailit.</w:t>
      </w:r>
    </w:p>
    <w:sectPr>
      <w:headerReference w:type="default" r:id="rId4"/>
      <w:footerReference w:type="default" r:id="rId5"/>
      <w:type w:val="nextPage"/>
      <w:pgSz w:w="11906" w:h="16838"/>
      <w:pgMar w:left="900" w:right="1016" w:header="180" w:top="1843" w:footer="189" w:bottom="8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40" w:before="0" w:after="0"/>
      <w:ind w:left="-115" w:hanging="0"/>
      <w:jc w:val="center"/>
      <w:rPr>
        <w:rFonts w:ascii="Palatino Linotype" w:hAnsi="Palatino Linotype" w:cs="Palatino Linotype"/>
        <w:b/>
        <w:b/>
        <w:color w:val="595959"/>
        <w:sz w:val="20"/>
        <w:szCs w:val="20"/>
        <w:lang w:val="it-IT"/>
      </w:rPr>
    </w:pPr>
    <w:r>
      <w:rPr>
        <w:rFonts w:cs="Palatino Linotype" w:ascii="Palatino Linotype" w:hAnsi="Palatino Linotype"/>
        <w:b/>
        <w:color w:val="595959"/>
        <w:sz w:val="20"/>
        <w:szCs w:val="20"/>
        <w:lang w:val="it-IT"/>
      </w:rPr>
      <w:t>EuroSpeak</w:t>
    </w:r>
  </w:p>
  <w:p>
    <w:pPr>
      <w:pStyle w:val="Footer"/>
      <w:spacing w:lineRule="auto" w:line="240" w:before="0" w:after="0"/>
      <w:ind w:left="-115" w:hanging="0"/>
      <w:jc w:val="center"/>
      <w:rPr/>
    </w:pPr>
    <w:r>
      <w:rPr>
        <w:rFonts w:cs="Palatino Linotype" w:ascii="Palatino Linotype" w:hAnsi="Palatino Linotype"/>
        <w:b/>
        <w:color w:val="595959"/>
        <w:sz w:val="20"/>
        <w:szCs w:val="20"/>
        <w:lang w:val="it-IT"/>
      </w:rPr>
      <w:t>W</w:t>
    </w:r>
    <w:r>
      <w:rPr>
        <w:rFonts w:cs="Palatino Linotype" w:ascii="Palatino Linotype" w:hAnsi="Palatino Linotype"/>
        <w:color w:val="595959"/>
        <w:sz w:val="20"/>
        <w:szCs w:val="20"/>
        <w:lang w:val="it-IT"/>
      </w:rPr>
      <w:t xml:space="preserve">: </w:t>
    </w:r>
    <w:hyperlink r:id="rId1">
      <w:r>
        <w:rPr>
          <w:rStyle w:val="InternetLink"/>
          <w:rFonts w:cs="Palatino Linotype" w:ascii="Palatino Linotype" w:hAnsi="Palatino Linotype"/>
          <w:sz w:val="20"/>
          <w:szCs w:val="20"/>
          <w:lang w:val="it-IT"/>
        </w:rPr>
        <w:t>www.eurospeak.al</w:t>
      </w:r>
    </w:hyperlink>
    <w:r>
      <w:rPr>
        <w:rFonts w:cs="Palatino Linotype" w:ascii="Palatino Linotype" w:hAnsi="Palatino Linotype"/>
        <w:color w:val="595959"/>
        <w:sz w:val="20"/>
        <w:szCs w:val="20"/>
        <w:lang w:val="it-IT"/>
      </w:rPr>
      <w:t xml:space="preserve">; </w:t>
    </w:r>
    <w:r>
      <w:rPr>
        <w:rFonts w:cs="Palatino Linotype" w:ascii="Palatino Linotype" w:hAnsi="Palatino Linotype"/>
        <w:b/>
        <w:color w:val="595959"/>
        <w:sz w:val="20"/>
        <w:szCs w:val="20"/>
      </w:rPr>
      <w:t>E</w:t>
    </w:r>
    <w:r>
      <w:rPr>
        <w:rFonts w:cs="Palatino Linotype" w:ascii="Palatino Linotype" w:hAnsi="Palatino Linotype"/>
        <w:color w:val="595959"/>
        <w:sz w:val="20"/>
        <w:szCs w:val="20"/>
      </w:rPr>
      <w:t xml:space="preserve">: </w:t>
    </w:r>
    <w:hyperlink r:id="rId2">
      <w:r>
        <w:rPr>
          <w:rStyle w:val="InternetLink"/>
          <w:rFonts w:cs="Helvetica" w:ascii="Palatino Linotype" w:hAnsi="Palatino Linotype"/>
          <w:sz w:val="20"/>
          <w:szCs w:val="20"/>
          <w:shd w:fill="FFFFFF" w:val="clear"/>
        </w:rPr>
        <w:t>info@em-al.org</w:t>
      </w:r>
    </w:hyperlink>
    <w:r>
      <w:rPr>
        <w:rFonts w:cs="Palatino Linotype" w:ascii="Palatino Linotype" w:hAnsi="Palatino Linotype"/>
        <w:color w:val="595959"/>
        <w:sz w:val="20"/>
        <w:szCs w:val="20"/>
      </w:rPr>
      <w:t xml:space="preserve">;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jc w:val="center"/>
      <w:rPr/>
    </w:pPr>
    <w:r>
      <w:rPr/>
      <w:drawing>
        <wp:inline distT="0" distB="0" distL="0" distR="0">
          <wp:extent cx="2754630" cy="66167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8" r="-12" b="-48"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b/>
        <w:iCs w:val="false"/>
        <w:bCs/>
        <w:color w:val="4472C4"/>
        <w:lang w:val="sq-A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MS Mincho;ＭＳ 明朝" w:cs="Times New Roman"/>
      <w:color w:val="auto"/>
      <w:sz w:val="22"/>
      <w:szCs w:val="22"/>
      <w:lang w:val="en-GB" w:bidi="ar-SA" w:eastAsia="zh-CN"/>
    </w:rPr>
  </w:style>
  <w:style w:type="character" w:styleId="WW8Num1z0">
    <w:name w:val="WW8Num1z0"/>
    <w:qFormat/>
    <w:rPr>
      <w:rFonts w:ascii="Symbol" w:hAnsi="Symbol" w:eastAsia="Times New Roman" w:cs="Symbol"/>
      <w:color w:val="4472C4"/>
      <w:sz w:val="20"/>
      <w:lang w:val="sq-AL" w:eastAsia="en-GB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eastAsia="Times New Roman" w:cs="Symbol"/>
      <w:color w:val="4472C4"/>
      <w:sz w:val="20"/>
      <w:lang w:val="sq-AL" w:eastAsia="en-GB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b/>
      <w:bCs/>
      <w:i/>
      <w:iCs w:val="false"/>
      <w:color w:val="4472C4"/>
      <w:lang w:val="sq-A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color w:val="4472C4"/>
      <w:sz w:val="20"/>
      <w:lang w:val="sq-AL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DefaultParagraphFont">
    <w:name w:val="Default Paragraph Font"/>
    <w:qFormat/>
    <w:rPr/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FF"/>
      <w:u w:val="single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HeaderChar">
    <w:name w:val="Header Char"/>
    <w:qFormat/>
    <w:rPr>
      <w:sz w:val="22"/>
      <w:szCs w:val="22"/>
      <w:lang w:val="en-GB"/>
    </w:rPr>
  </w:style>
  <w:style w:type="character" w:styleId="FooterChar">
    <w:name w:val="Footer Char"/>
    <w:qFormat/>
    <w:rPr>
      <w:sz w:val="22"/>
      <w:szCs w:val="22"/>
      <w:lang w:val="en-GB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Comment Text"/>
    <w:basedOn w:val="Normal"/>
    <w:qFormat/>
    <w:pPr>
      <w:spacing w:lineRule="auto" w:line="240"/>
    </w:pPr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urospeak.al/" TargetMode="External"/><Relationship Id="rId3" Type="http://schemas.openxmlformats.org/officeDocument/2006/relationships/hyperlink" Target="mailto:info@em-al.or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urospeak.al/" TargetMode="External"/><Relationship Id="rId2" Type="http://schemas.openxmlformats.org/officeDocument/2006/relationships/hyperlink" Target="mailto:info@em-al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LibreOffice/6.4.6.2$Linux_X86_64 LibreOffice_project/40$Build-2</Application>
  <Pages>3</Pages>
  <Words>931</Words>
  <Characters>4937</Characters>
  <CharactersWithSpaces>5833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2020-03-05T16:31:00Z</dcterms:created>
  <dc:creator>klobeta zylyfi</dc:creator>
  <dc:description/>
  <cp:keywords/>
  <dc:language>en-US</dc:language>
  <cp:lastModifiedBy>Nirvana Deliu</cp:lastModifiedBy>
  <dcterms:modified xsi:type="dcterms:W3CDTF">2021-02-25T18:58:00Z</dcterms:modified>
  <cp:revision>15</cp:revision>
  <dc:subject/>
  <dc:title/>
</cp:coreProperties>
</file>